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D1C" w:rsidRDefault="009B31D6">
      <w:pPr>
        <w:pStyle w:val="Tytu"/>
        <w:jc w:val="center"/>
      </w:pPr>
      <w:r>
        <w:rPr>
          <w:rFonts w:ascii="Tahoma" w:hAnsi="Tahoma" w:cs="Tahoma"/>
          <w:w w:val="150"/>
          <w:sz w:val="18"/>
          <w:szCs w:val="18"/>
        </w:rPr>
        <w:t>UCHWAŁA</w:t>
      </w:r>
    </w:p>
    <w:p w:rsidR="00835D1C" w:rsidRDefault="009B31D6">
      <w:pPr>
        <w:pStyle w:val="Domylny"/>
        <w:jc w:val="center"/>
      </w:pPr>
      <w:r>
        <w:rPr>
          <w:rFonts w:ascii="Tahoma" w:hAnsi="Tahoma" w:cs="Tahoma"/>
          <w:b/>
          <w:w w:val="150"/>
          <w:sz w:val="18"/>
          <w:szCs w:val="18"/>
        </w:rPr>
        <w:t>ZARZĄDU DOLNOŚLĄSKIEGO ZPN</w:t>
      </w:r>
    </w:p>
    <w:p w:rsidR="00835D1C" w:rsidRDefault="009B31D6">
      <w:pPr>
        <w:pStyle w:val="Domylny"/>
        <w:jc w:val="center"/>
      </w:pPr>
      <w:r>
        <w:rPr>
          <w:rFonts w:ascii="Tahoma" w:hAnsi="Tahoma" w:cs="Tahoma"/>
          <w:b/>
          <w:w w:val="150"/>
          <w:sz w:val="18"/>
          <w:szCs w:val="18"/>
        </w:rPr>
        <w:t>Z DNIA 30.01.2015.</w:t>
      </w:r>
    </w:p>
    <w:p w:rsidR="00835D1C" w:rsidRDefault="00835D1C">
      <w:pPr>
        <w:pStyle w:val="Domylny"/>
        <w:jc w:val="center"/>
      </w:pPr>
    </w:p>
    <w:p w:rsidR="00835D1C" w:rsidRDefault="009B31D6">
      <w:pPr>
        <w:pStyle w:val="Domylny"/>
        <w:spacing w:line="360" w:lineRule="auto"/>
        <w:jc w:val="center"/>
      </w:pPr>
      <w:r>
        <w:rPr>
          <w:rFonts w:ascii="Tahoma" w:hAnsi="Tahoma" w:cs="Tahoma"/>
          <w:b/>
          <w:i/>
          <w:sz w:val="18"/>
          <w:szCs w:val="18"/>
        </w:rPr>
        <w:t xml:space="preserve">w sprawie </w:t>
      </w:r>
      <w:r>
        <w:rPr>
          <w:rFonts w:ascii="Tahoma" w:hAnsi="Tahoma" w:cs="Tahoma"/>
          <w:b/>
          <w:bCs/>
          <w:i/>
          <w:sz w:val="18"/>
          <w:szCs w:val="18"/>
        </w:rPr>
        <w:t xml:space="preserve">zwrotu kosztów dojazdu dla sędziów, obserwatorów i delegatów </w:t>
      </w:r>
    </w:p>
    <w:p w:rsidR="00835D1C" w:rsidRDefault="009B31D6">
      <w:pPr>
        <w:pStyle w:val="Domylny"/>
        <w:spacing w:line="360" w:lineRule="auto"/>
        <w:jc w:val="center"/>
      </w:pPr>
      <w:r>
        <w:rPr>
          <w:rFonts w:ascii="Tahoma" w:hAnsi="Tahoma" w:cs="Tahoma"/>
          <w:b/>
          <w:bCs/>
          <w:i/>
          <w:sz w:val="18"/>
          <w:szCs w:val="18"/>
        </w:rPr>
        <w:t>od IV ligi do niższych klas rozgrywkowych</w:t>
      </w:r>
      <w:r>
        <w:rPr>
          <w:rFonts w:ascii="Tahoma" w:hAnsi="Tahoma" w:cs="Tahoma"/>
          <w:sz w:val="18"/>
          <w:szCs w:val="18"/>
        </w:rPr>
        <w:t> </w:t>
      </w:r>
    </w:p>
    <w:p w:rsidR="00835D1C" w:rsidRDefault="00835D1C">
      <w:pPr>
        <w:pStyle w:val="Domylny"/>
        <w:jc w:val="both"/>
      </w:pPr>
    </w:p>
    <w:p w:rsidR="00835D1C" w:rsidRDefault="009B31D6">
      <w:pPr>
        <w:pStyle w:val="Domylny"/>
        <w:jc w:val="both"/>
      </w:pPr>
      <w:r>
        <w:rPr>
          <w:rFonts w:ascii="Tahoma" w:hAnsi="Tahoma" w:cs="Tahoma"/>
          <w:sz w:val="18"/>
          <w:szCs w:val="18"/>
        </w:rPr>
        <w:t xml:space="preserve">Na podstawie § 30 pkt. i) Statutu Dolnośląskiego ZPN postanawia się, co następuje: </w:t>
      </w:r>
    </w:p>
    <w:p w:rsidR="00835D1C" w:rsidRDefault="00835D1C">
      <w:pPr>
        <w:pStyle w:val="Domylny"/>
      </w:pPr>
    </w:p>
    <w:p w:rsidR="00835D1C" w:rsidRDefault="009B31D6">
      <w:pPr>
        <w:pStyle w:val="Domylny"/>
        <w:widowControl w:val="0"/>
        <w:spacing w:line="237" w:lineRule="auto"/>
        <w:ind w:right="20"/>
        <w:jc w:val="both"/>
      </w:pPr>
      <w:r>
        <w:rPr>
          <w:rFonts w:ascii="Tahoma" w:hAnsi="Tahoma" w:cs="Tahoma"/>
          <w:sz w:val="18"/>
          <w:szCs w:val="18"/>
        </w:rPr>
        <w:t>§ 1</w:t>
      </w:r>
    </w:p>
    <w:p w:rsidR="00835D1C" w:rsidRDefault="00835D1C">
      <w:pPr>
        <w:pStyle w:val="Domylny"/>
        <w:widowControl w:val="0"/>
        <w:spacing w:line="237" w:lineRule="auto"/>
        <w:ind w:right="20"/>
        <w:jc w:val="both"/>
      </w:pPr>
    </w:p>
    <w:p w:rsidR="00835D1C" w:rsidRDefault="009B31D6">
      <w:pPr>
        <w:pStyle w:val="Domylny"/>
        <w:widowControl w:val="0"/>
        <w:spacing w:line="237" w:lineRule="auto"/>
        <w:ind w:right="20"/>
        <w:jc w:val="both"/>
      </w:pPr>
      <w:r>
        <w:rPr>
          <w:rFonts w:ascii="Tahoma" w:hAnsi="Tahoma" w:cs="Tahoma"/>
          <w:sz w:val="18"/>
          <w:szCs w:val="18"/>
        </w:rPr>
        <w:t>Ustala się następujące zasady rozliczania kosztów przejazdów dla sędziów, obserwatorów i delegatów IV ligi i klas niższych:</w:t>
      </w:r>
    </w:p>
    <w:p w:rsidR="00835D1C" w:rsidRDefault="00835D1C">
      <w:pPr>
        <w:pStyle w:val="Domylny"/>
        <w:widowControl w:val="0"/>
        <w:spacing w:line="237" w:lineRule="auto"/>
        <w:ind w:right="20"/>
        <w:jc w:val="both"/>
      </w:pPr>
    </w:p>
    <w:p w:rsidR="00835D1C" w:rsidRDefault="009B31D6">
      <w:pPr>
        <w:pStyle w:val="Akapitzlist"/>
        <w:widowControl w:val="0"/>
        <w:numPr>
          <w:ilvl w:val="0"/>
          <w:numId w:val="1"/>
        </w:numPr>
        <w:spacing w:line="237" w:lineRule="auto"/>
        <w:ind w:right="20"/>
        <w:jc w:val="both"/>
      </w:pPr>
      <w:r>
        <w:rPr>
          <w:rFonts w:ascii="Tahoma" w:hAnsi="Tahoma" w:cs="Tahoma"/>
          <w:sz w:val="18"/>
          <w:szCs w:val="18"/>
        </w:rPr>
        <w:t>W przypadku odbywania podróży przez wszystkich delegowanych na zawody sędziów jednym pojazdem właścicielowi pojazdu przysługuje zwrot kosztów podróży 0,8358 złotego za każdy przejechany kilometr pomiędzy miejscem zamieszkania właściciela pojazdu, miejscem rozgrywania zawodów i  miejscem zamieszkania właściciela pojazdu (odległość liczona najkrótszą drogą).</w:t>
      </w:r>
    </w:p>
    <w:p w:rsidR="00835D1C" w:rsidRDefault="009B31D6">
      <w:pPr>
        <w:pStyle w:val="Akapitzlist"/>
        <w:widowControl w:val="0"/>
        <w:numPr>
          <w:ilvl w:val="0"/>
          <w:numId w:val="1"/>
        </w:numPr>
        <w:spacing w:line="237" w:lineRule="auto"/>
        <w:ind w:right="20"/>
        <w:jc w:val="both"/>
      </w:pPr>
      <w:r>
        <w:rPr>
          <w:rFonts w:ascii="Tahoma" w:hAnsi="Tahoma" w:cs="Tahoma"/>
          <w:sz w:val="18"/>
          <w:szCs w:val="18"/>
        </w:rPr>
        <w:t>W przypadku odbywania podróży przez delegowanych na zawody sędziów dwoma lub trzema pojazdami każdemu z właścicieli pojazdu przysługuje zwrot kosztów podróży 0,45 złotego za każdy przejechany kilometr pomiędzy miejscem zamieszkania właścicieli pojazdów, miejscem rozgrywania zawodów i miejscem zamieszkania właścicieli pojazdów (odległość liczona najkrótsza drogą).</w:t>
      </w:r>
    </w:p>
    <w:p w:rsidR="00835D1C" w:rsidRDefault="009B31D6">
      <w:pPr>
        <w:pStyle w:val="Akapitzlist"/>
        <w:widowControl w:val="0"/>
        <w:numPr>
          <w:ilvl w:val="0"/>
          <w:numId w:val="1"/>
        </w:numPr>
        <w:spacing w:line="237" w:lineRule="auto"/>
        <w:ind w:right="20"/>
        <w:jc w:val="both"/>
      </w:pPr>
      <w:r>
        <w:rPr>
          <w:rFonts w:ascii="Tahoma" w:hAnsi="Tahoma" w:cs="Tahoma"/>
          <w:sz w:val="18"/>
          <w:szCs w:val="18"/>
        </w:rPr>
        <w:t>Jeżeli sędzia/sędziowie w jednym dniu zostali delegowani do prowadzenia dwóch lub więcej spotkań, które odbywają się w różnych miejscowościach to koszty przejazdu oblicza się następująco:</w:t>
      </w:r>
    </w:p>
    <w:p w:rsidR="00835D1C" w:rsidRDefault="009B31D6">
      <w:pPr>
        <w:pStyle w:val="Akapitzlist"/>
        <w:widowControl w:val="0"/>
        <w:numPr>
          <w:ilvl w:val="0"/>
          <w:numId w:val="2"/>
        </w:numPr>
        <w:spacing w:line="237" w:lineRule="auto"/>
        <w:ind w:right="20"/>
        <w:jc w:val="both"/>
      </w:pPr>
      <w:r>
        <w:rPr>
          <w:rFonts w:ascii="Tahoma" w:hAnsi="Tahoma" w:cs="Tahoma"/>
          <w:sz w:val="18"/>
          <w:szCs w:val="18"/>
        </w:rPr>
        <w:t>Na pierwsze zawody: odległość pomiędzy miejscem zamieszkania właściciela pojazdu do miejsca rozgrywania zawodów oraz 50% odległości pomiędzy pierwszym a drugim miejscem prowadzenia zawodów. Stawka za przejechany kilometr zgodnie z §1 pkt.1 i 2  (odległość liczona najkrótszą drogą).</w:t>
      </w:r>
    </w:p>
    <w:p w:rsidR="00835D1C" w:rsidRDefault="009B31D6">
      <w:pPr>
        <w:pStyle w:val="Akapitzlist"/>
        <w:widowControl w:val="0"/>
        <w:numPr>
          <w:ilvl w:val="0"/>
          <w:numId w:val="2"/>
        </w:numPr>
        <w:spacing w:line="237" w:lineRule="auto"/>
        <w:ind w:right="20"/>
        <w:jc w:val="both"/>
      </w:pPr>
      <w:r>
        <w:rPr>
          <w:rFonts w:ascii="Tahoma" w:hAnsi="Tahoma" w:cs="Tahoma"/>
          <w:sz w:val="18"/>
          <w:szCs w:val="18"/>
        </w:rPr>
        <w:t xml:space="preserve">Na każde kolejne zawody: 50% odległości pomiędzy poprzednim a obecnym miejscem prowadzenia zawodów oraz, jeśli są to ostatnie zawody delegowanych sędziów w danym dniu to również odległość pomiędzy miejscem sędziowania aktualnych zawodów a miejscem zamieszkania właściciela pojazdu (odległości liczone najkrótszą drogą), </w:t>
      </w:r>
    </w:p>
    <w:p w:rsidR="00835D1C" w:rsidRDefault="009B31D6">
      <w:pPr>
        <w:pStyle w:val="Akapitzlist"/>
        <w:widowControl w:val="0"/>
        <w:spacing w:line="237" w:lineRule="auto"/>
        <w:ind w:left="1440" w:right="20"/>
        <w:jc w:val="both"/>
      </w:pPr>
      <w:r>
        <w:rPr>
          <w:rFonts w:ascii="Tahoma" w:hAnsi="Tahoma" w:cs="Tahoma"/>
          <w:sz w:val="18"/>
          <w:szCs w:val="18"/>
        </w:rPr>
        <w:t>jeśli nie są to ostatnie zawody delegowanych sędziów w danym dniu to 50% odległości pomiędzy obecnym a kolejnym miejscem prowadzenia zawodów (odległości liczone najkrótszą drogą).</w:t>
      </w:r>
    </w:p>
    <w:p w:rsidR="00835D1C" w:rsidRDefault="009B31D6">
      <w:pPr>
        <w:pStyle w:val="Akapitzlist"/>
        <w:widowControl w:val="0"/>
        <w:spacing w:line="237" w:lineRule="auto"/>
        <w:ind w:left="1440" w:right="20"/>
        <w:jc w:val="both"/>
      </w:pPr>
      <w:r>
        <w:rPr>
          <w:rFonts w:ascii="Tahoma" w:hAnsi="Tahoma" w:cs="Tahoma"/>
          <w:sz w:val="18"/>
          <w:szCs w:val="18"/>
        </w:rPr>
        <w:t>W powyższych przypadkach zawsze zastosowanie mają zapisy §1 pkt. 1 i 2</w:t>
      </w:r>
    </w:p>
    <w:p w:rsidR="00835D1C" w:rsidRDefault="009B31D6">
      <w:pPr>
        <w:pStyle w:val="Akapitzlist"/>
        <w:widowControl w:val="0"/>
        <w:numPr>
          <w:ilvl w:val="0"/>
          <w:numId w:val="1"/>
        </w:numPr>
        <w:spacing w:line="237" w:lineRule="auto"/>
        <w:ind w:right="20"/>
        <w:jc w:val="both"/>
      </w:pPr>
      <w:r>
        <w:rPr>
          <w:rFonts w:ascii="Tahoma" w:hAnsi="Tahoma" w:cs="Tahoma"/>
          <w:sz w:val="18"/>
          <w:szCs w:val="18"/>
        </w:rPr>
        <w:t>Dopuszcza się rozliczanie kosztów przejazdu innymi środkami transportu w następujący sposób:</w:t>
      </w:r>
    </w:p>
    <w:p w:rsidR="00835D1C" w:rsidRDefault="009B31D6">
      <w:pPr>
        <w:pStyle w:val="Akapitzlist"/>
        <w:widowControl w:val="0"/>
        <w:numPr>
          <w:ilvl w:val="0"/>
          <w:numId w:val="3"/>
        </w:numPr>
        <w:spacing w:line="237" w:lineRule="auto"/>
        <w:ind w:right="20"/>
        <w:jc w:val="both"/>
      </w:pPr>
      <w:r>
        <w:rPr>
          <w:rFonts w:ascii="Tahoma" w:hAnsi="Tahoma" w:cs="Tahoma"/>
          <w:sz w:val="18"/>
          <w:szCs w:val="18"/>
        </w:rPr>
        <w:t>Państwowe i prywatne środki transportu zbiorowego- na podstawie biletów.</w:t>
      </w:r>
    </w:p>
    <w:p w:rsidR="00835D1C" w:rsidRDefault="009B31D6">
      <w:pPr>
        <w:pStyle w:val="Akapitzlist"/>
        <w:widowControl w:val="0"/>
        <w:numPr>
          <w:ilvl w:val="0"/>
          <w:numId w:val="3"/>
        </w:numPr>
        <w:spacing w:line="237" w:lineRule="auto"/>
        <w:ind w:right="20"/>
        <w:jc w:val="both"/>
      </w:pPr>
      <w:r>
        <w:rPr>
          <w:rFonts w:ascii="Tahoma" w:hAnsi="Tahoma" w:cs="Tahoma"/>
          <w:sz w:val="18"/>
          <w:szCs w:val="18"/>
        </w:rPr>
        <w:t>Motocyklem - właścicielowi pojazdu przysługuje zwrot kosztów podróży na poziomie 0,2302 złotego za każdy przejechany kilometr pomiędzy miejscem zamieszkania właściciela pojazdu, miejscem rozgrywania zawodów i miejscem zamieszkania właściciela pojazdu (odległość liczona najkrótszą drogą).</w:t>
      </w:r>
    </w:p>
    <w:p w:rsidR="00835D1C" w:rsidRDefault="009B31D6">
      <w:pPr>
        <w:pStyle w:val="Akapitzlist"/>
        <w:widowControl w:val="0"/>
        <w:numPr>
          <w:ilvl w:val="0"/>
          <w:numId w:val="3"/>
        </w:numPr>
        <w:spacing w:line="237" w:lineRule="auto"/>
        <w:ind w:right="20"/>
        <w:jc w:val="both"/>
      </w:pPr>
      <w:r>
        <w:rPr>
          <w:rFonts w:ascii="Tahoma" w:hAnsi="Tahoma" w:cs="Tahoma"/>
          <w:sz w:val="18"/>
          <w:szCs w:val="18"/>
        </w:rPr>
        <w:t xml:space="preserve">Motorowerem - właścicielowi pojazdu przysługuje zwrot kosztów podróży na poziomie 0,1382 </w:t>
      </w:r>
      <w:r w:rsidR="00A17683">
        <w:rPr>
          <w:rFonts w:ascii="Tahoma" w:hAnsi="Tahoma" w:cs="Tahoma"/>
          <w:sz w:val="18"/>
          <w:szCs w:val="18"/>
        </w:rPr>
        <w:t>złotego</w:t>
      </w:r>
      <w:bookmarkStart w:id="0" w:name="_GoBack"/>
      <w:bookmarkEnd w:id="0"/>
      <w:r>
        <w:rPr>
          <w:rFonts w:ascii="Tahoma" w:hAnsi="Tahoma" w:cs="Tahoma"/>
          <w:sz w:val="18"/>
          <w:szCs w:val="18"/>
        </w:rPr>
        <w:t xml:space="preserve"> za każdy przejechany kilometr pomiędzy miejscem zamieszkania właściciela pojazdu, miejscem rozgrywania zawodów i miejscem zamieszkania właściciela pojazdu (odległość liczona najkrótszą drogą, w dniu rozgrywania zawodów).</w:t>
      </w:r>
    </w:p>
    <w:p w:rsidR="00835D1C" w:rsidRDefault="009B31D6">
      <w:pPr>
        <w:pStyle w:val="Akapitzlist"/>
        <w:widowControl w:val="0"/>
        <w:numPr>
          <w:ilvl w:val="0"/>
          <w:numId w:val="1"/>
        </w:numPr>
        <w:spacing w:line="237" w:lineRule="auto"/>
        <w:ind w:right="20"/>
        <w:jc w:val="both"/>
      </w:pPr>
      <w:r>
        <w:rPr>
          <w:rFonts w:ascii="Tahoma" w:hAnsi="Tahoma" w:cs="Tahoma"/>
          <w:sz w:val="18"/>
          <w:szCs w:val="18"/>
        </w:rPr>
        <w:t>Obowiązkiem sędziego staje się poinformowanie właściwego terytorialnie Kolegium Sędziów przed każdym sezonem o miejscu swojego zamieszkania, a także aktualizowanie informacji w przypadku jego zmiany.</w:t>
      </w:r>
    </w:p>
    <w:p w:rsidR="00835D1C" w:rsidRDefault="00835D1C">
      <w:pPr>
        <w:pStyle w:val="Domylny"/>
        <w:widowControl w:val="0"/>
        <w:spacing w:line="237" w:lineRule="auto"/>
        <w:ind w:right="20"/>
        <w:jc w:val="both"/>
      </w:pPr>
    </w:p>
    <w:p w:rsidR="00835D1C" w:rsidRDefault="009B31D6">
      <w:pPr>
        <w:pStyle w:val="Domylny"/>
        <w:widowControl w:val="0"/>
        <w:spacing w:line="237" w:lineRule="auto"/>
        <w:ind w:right="20"/>
        <w:jc w:val="both"/>
      </w:pPr>
      <w:r>
        <w:rPr>
          <w:rFonts w:ascii="Tahoma" w:hAnsi="Tahoma" w:cs="Tahoma"/>
          <w:sz w:val="18"/>
          <w:szCs w:val="18"/>
        </w:rPr>
        <w:t>§ 2</w:t>
      </w:r>
    </w:p>
    <w:p w:rsidR="00835D1C" w:rsidRDefault="00835D1C">
      <w:pPr>
        <w:pStyle w:val="Domylny"/>
        <w:widowControl w:val="0"/>
        <w:spacing w:line="237" w:lineRule="auto"/>
        <w:ind w:right="20"/>
        <w:jc w:val="both"/>
      </w:pPr>
    </w:p>
    <w:p w:rsidR="00835D1C" w:rsidRDefault="009B31D6">
      <w:pPr>
        <w:pStyle w:val="Domylny"/>
        <w:widowControl w:val="0"/>
        <w:spacing w:line="237" w:lineRule="auto"/>
        <w:ind w:right="20"/>
        <w:jc w:val="both"/>
      </w:pPr>
      <w:r>
        <w:rPr>
          <w:rFonts w:ascii="Tahoma" w:hAnsi="Tahoma" w:cs="Tahoma"/>
          <w:sz w:val="18"/>
          <w:szCs w:val="18"/>
        </w:rPr>
        <w:t>Niniejsza Uchwała wchodzi w życie z dniem podjęcia.</w:t>
      </w:r>
    </w:p>
    <w:sectPr w:rsidR="00835D1C">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0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6247D"/>
    <w:multiLevelType w:val="multilevel"/>
    <w:tmpl w:val="F4F4D44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CF57E4D"/>
    <w:multiLevelType w:val="multilevel"/>
    <w:tmpl w:val="6CD6B0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2CB2382"/>
    <w:multiLevelType w:val="multilevel"/>
    <w:tmpl w:val="EDDCAA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92D5BC4"/>
    <w:multiLevelType w:val="multilevel"/>
    <w:tmpl w:val="552E4AB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2"/>
  </w:compat>
  <w:rsids>
    <w:rsidRoot w:val="00835D1C"/>
    <w:rsid w:val="00835D1C"/>
    <w:rsid w:val="009B31D6"/>
    <w:rsid w:val="00A176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y">
    <w:name w:val="Domyślny"/>
    <w:pPr>
      <w:suppressAutoHyphens/>
      <w:spacing w:after="0" w:line="100" w:lineRule="atLeast"/>
    </w:pPr>
    <w:rPr>
      <w:rFonts w:ascii="Times New Roman" w:eastAsia="Calibri" w:hAnsi="Times New Roman" w:cs="Times New Roman"/>
      <w:sz w:val="24"/>
      <w:szCs w:val="24"/>
    </w:rPr>
  </w:style>
  <w:style w:type="character" w:customStyle="1" w:styleId="NagwekZnak">
    <w:name w:val="Nagłówek Znak"/>
    <w:basedOn w:val="Domylnaczcionkaakapitu"/>
    <w:rPr>
      <w:rFonts w:ascii="Times New Roman" w:eastAsia="Calibri" w:hAnsi="Times New Roman" w:cs="Times New Roman"/>
      <w:sz w:val="24"/>
      <w:szCs w:val="24"/>
      <w:lang w:eastAsia="pl-PL"/>
    </w:rPr>
  </w:style>
  <w:style w:type="character" w:customStyle="1" w:styleId="TytuZnak">
    <w:name w:val="Tytuł Znak"/>
    <w:basedOn w:val="Domylnaczcionkaakapitu"/>
    <w:rPr>
      <w:rFonts w:ascii="Times New Roman" w:eastAsia="Calibri" w:hAnsi="Times New Roman" w:cs="Times New Roman"/>
      <w:sz w:val="24"/>
      <w:szCs w:val="24"/>
      <w:lang w:eastAsia="pl-PL"/>
    </w:rPr>
  </w:style>
  <w:style w:type="character" w:customStyle="1" w:styleId="Mocnowyrniony">
    <w:name w:val="Mocno wyróżniony"/>
    <w:basedOn w:val="Domylnaczcionkaakapitu"/>
    <w:rPr>
      <w:b/>
      <w:bCs/>
    </w:rPr>
  </w:style>
  <w:style w:type="paragraph" w:styleId="Nagwek">
    <w:name w:val="header"/>
    <w:basedOn w:val="Domylny"/>
    <w:next w:val="Tretekstu"/>
    <w:pPr>
      <w:keepNext/>
      <w:spacing w:before="240" w:after="120"/>
    </w:pPr>
    <w:rPr>
      <w:rFonts w:ascii="Arial" w:eastAsia="Microsoft YaHei" w:hAnsi="Arial" w:cs="Mangal"/>
      <w:sz w:val="28"/>
      <w:szCs w:val="28"/>
    </w:rPr>
  </w:style>
  <w:style w:type="paragraph" w:customStyle="1" w:styleId="Tretekstu">
    <w:name w:val="Treść tekstu"/>
    <w:basedOn w:val="Domylny"/>
    <w:pPr>
      <w:spacing w:after="120"/>
    </w:pPr>
  </w:style>
  <w:style w:type="paragraph" w:styleId="Lista">
    <w:name w:val="List"/>
    <w:basedOn w:val="Tretekstu"/>
    <w:rPr>
      <w:rFonts w:cs="Mangal"/>
    </w:rPr>
  </w:style>
  <w:style w:type="paragraph" w:styleId="Podpis">
    <w:name w:val="Signature"/>
    <w:basedOn w:val="Domylny"/>
    <w:pPr>
      <w:suppressLineNumbers/>
      <w:spacing w:before="120" w:after="120"/>
    </w:pPr>
    <w:rPr>
      <w:rFonts w:cs="Mangal"/>
      <w:i/>
      <w:iCs/>
    </w:rPr>
  </w:style>
  <w:style w:type="paragraph" w:customStyle="1" w:styleId="Indeks">
    <w:name w:val="Indeks"/>
    <w:basedOn w:val="Domylny"/>
    <w:pPr>
      <w:suppressLineNumbers/>
    </w:pPr>
    <w:rPr>
      <w:rFonts w:cs="Mangal"/>
    </w:rPr>
  </w:style>
  <w:style w:type="paragraph" w:customStyle="1" w:styleId="Gwka">
    <w:name w:val="Główka"/>
    <w:basedOn w:val="Domylny"/>
    <w:pPr>
      <w:spacing w:before="28" w:after="28"/>
    </w:pPr>
  </w:style>
  <w:style w:type="paragraph" w:styleId="Tytu">
    <w:name w:val="Title"/>
    <w:basedOn w:val="Domylny"/>
    <w:pPr>
      <w:spacing w:before="28" w:after="28"/>
    </w:pPr>
  </w:style>
  <w:style w:type="paragraph" w:styleId="Akapitzlist">
    <w:name w:val="List Paragraph"/>
    <w:basedOn w:val="Domylny"/>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455</Words>
  <Characters>2730</Characters>
  <Application>Microsoft Office Word</Application>
  <DocSecurity>0</DocSecurity>
  <Lines>22</Lines>
  <Paragraphs>6</Paragraphs>
  <ScaleCrop>false</ScaleCrop>
  <Company/>
  <LinksUpToDate>false</LinksUpToDate>
  <CharactersWithSpaces>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Zalewski</dc:creator>
  <cp:lastModifiedBy>Filip Dębski</cp:lastModifiedBy>
  <cp:revision>5</cp:revision>
  <cp:lastPrinted>2015-02-10T12:51:00Z</cp:lastPrinted>
  <dcterms:created xsi:type="dcterms:W3CDTF">2015-02-10T13:11:00Z</dcterms:created>
  <dcterms:modified xsi:type="dcterms:W3CDTF">2015-02-11T11:27:00Z</dcterms:modified>
</cp:coreProperties>
</file>